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9" w:rsidRDefault="006E5059" w:rsidP="006E5059">
      <w:pPr>
        <w:outlineLvl w:val="0"/>
        <w:rPr>
          <w:lang w:eastAsia="hu-HU"/>
        </w:rPr>
      </w:pPr>
      <w:proofErr w:type="spellStart"/>
      <w:proofErr w:type="gramStart"/>
      <w:r>
        <w:rPr>
          <w:b/>
          <w:bCs/>
          <w:lang w:eastAsia="hu-HU"/>
        </w:rPr>
        <w:t>From</w:t>
      </w:r>
      <w:proofErr w:type="spellEnd"/>
      <w:r>
        <w:rPr>
          <w:b/>
          <w:bCs/>
          <w:lang w:eastAsia="hu-HU"/>
        </w:rPr>
        <w:t>:</w:t>
      </w:r>
      <w:r>
        <w:rPr>
          <w:lang w:eastAsia="hu-HU"/>
        </w:rPr>
        <w:t xml:space="preserve"> Kardkovács és Társai Ügyvédi Iroda [</w:t>
      </w:r>
      <w:hyperlink r:id="rId5" w:history="1">
        <w:r>
          <w:rPr>
            <w:rStyle w:val="Hiperhivatkozs"/>
            <w:lang w:eastAsia="hu-HU"/>
          </w:rPr>
          <w:t>mailto:iroda@jogiszakerto.hu</w:t>
        </w:r>
      </w:hyperlink>
      <w:r>
        <w:rPr>
          <w:lang w:eastAsia="hu-HU"/>
        </w:rPr>
        <w:t xml:space="preserve">] </w:t>
      </w:r>
      <w:r>
        <w:rPr>
          <w:lang w:eastAsia="hu-HU"/>
        </w:rPr>
        <w:br/>
      </w:r>
      <w:proofErr w:type="spellStart"/>
      <w:r>
        <w:rPr>
          <w:b/>
          <w:bCs/>
          <w:lang w:eastAsia="hu-HU"/>
        </w:rPr>
        <w:t>Sent</w:t>
      </w:r>
      <w:proofErr w:type="spellEnd"/>
      <w:r>
        <w:rPr>
          <w:b/>
          <w:bCs/>
          <w:lang w:eastAsia="hu-HU"/>
        </w:rPr>
        <w:t>:</w:t>
      </w:r>
      <w:r>
        <w:rPr>
          <w:lang w:eastAsia="hu-HU"/>
        </w:rPr>
        <w:t xml:space="preserve"> </w:t>
      </w:r>
      <w:proofErr w:type="spellStart"/>
      <w:r>
        <w:rPr>
          <w:lang w:eastAsia="hu-HU"/>
        </w:rPr>
        <w:t>Tuesday</w:t>
      </w:r>
      <w:proofErr w:type="spellEnd"/>
      <w:r>
        <w:rPr>
          <w:lang w:eastAsia="hu-HU"/>
        </w:rPr>
        <w:t xml:space="preserve">, </w:t>
      </w:r>
      <w:proofErr w:type="spellStart"/>
      <w:r>
        <w:rPr>
          <w:lang w:eastAsia="hu-HU"/>
        </w:rPr>
        <w:t>September</w:t>
      </w:r>
      <w:proofErr w:type="spellEnd"/>
      <w:r>
        <w:rPr>
          <w:lang w:eastAsia="hu-HU"/>
        </w:rPr>
        <w:t xml:space="preserve"> 18, 2018 1:53 PM</w:t>
      </w:r>
      <w:r>
        <w:rPr>
          <w:lang w:eastAsia="hu-HU"/>
        </w:rPr>
        <w:br/>
      </w:r>
      <w:proofErr w:type="spellStart"/>
      <w:r>
        <w:rPr>
          <w:b/>
          <w:bCs/>
          <w:lang w:eastAsia="hu-HU"/>
        </w:rPr>
        <w:t>To</w:t>
      </w:r>
      <w:proofErr w:type="spellEnd"/>
      <w:r>
        <w:rPr>
          <w:b/>
          <w:bCs/>
          <w:lang w:eastAsia="hu-HU"/>
        </w:rPr>
        <w:t>:</w:t>
      </w:r>
      <w:r>
        <w:rPr>
          <w:lang w:eastAsia="hu-HU"/>
        </w:rPr>
        <w:t xml:space="preserve"> </w:t>
      </w:r>
      <w:hyperlink r:id="rId6" w:history="1">
        <w:r>
          <w:rPr>
            <w:rStyle w:val="Hiperhivatkozs"/>
            <w:lang w:eastAsia="hu-HU"/>
          </w:rPr>
          <w:t>alpolgarmester@zalakaros.hu</w:t>
        </w:r>
      </w:hyperlink>
      <w:r>
        <w:rPr>
          <w:lang w:eastAsia="hu-HU"/>
        </w:rPr>
        <w:br/>
      </w:r>
      <w:proofErr w:type="spellStart"/>
      <w:r>
        <w:rPr>
          <w:b/>
          <w:bCs/>
          <w:lang w:eastAsia="hu-HU"/>
        </w:rPr>
        <w:t>Cc</w:t>
      </w:r>
      <w:proofErr w:type="spellEnd"/>
      <w:r>
        <w:rPr>
          <w:b/>
          <w:bCs/>
          <w:lang w:eastAsia="hu-HU"/>
        </w:rPr>
        <w:t>:</w:t>
      </w:r>
      <w:r>
        <w:rPr>
          <w:lang w:eastAsia="hu-HU"/>
        </w:rPr>
        <w:t xml:space="preserve"> </w:t>
      </w:r>
      <w:hyperlink r:id="rId7" w:history="1">
        <w:r>
          <w:rPr>
            <w:rStyle w:val="Hiperhivatkozs"/>
            <w:lang w:eastAsia="hu-HU"/>
          </w:rPr>
          <w:t>jegyzo@zalakaros.hu</w:t>
        </w:r>
      </w:hyperlink>
      <w:r>
        <w:rPr>
          <w:lang w:eastAsia="hu-HU"/>
        </w:rPr>
        <w:t xml:space="preserve">; </w:t>
      </w:r>
      <w:hyperlink r:id="rId8" w:history="1">
        <w:r>
          <w:rPr>
            <w:rStyle w:val="Hiperhivatkozs"/>
            <w:lang w:eastAsia="hu-HU"/>
          </w:rPr>
          <w:t>iroda@jogiszakerto.hu</w:t>
        </w:r>
      </w:hyperlink>
      <w:r>
        <w:rPr>
          <w:lang w:eastAsia="hu-HU"/>
        </w:rPr>
        <w:t>; 'Polgármesteri Hivatal Zalakaros' &lt;</w:t>
      </w:r>
      <w:hyperlink r:id="rId9" w:history="1">
        <w:r>
          <w:rPr>
            <w:rStyle w:val="Hiperhivatkozs"/>
            <w:lang w:eastAsia="hu-HU"/>
          </w:rPr>
          <w:t>menedzser@zalakaros.hu</w:t>
        </w:r>
      </w:hyperlink>
      <w:r>
        <w:rPr>
          <w:lang w:eastAsia="hu-HU"/>
        </w:rPr>
        <w:t>&gt;; 'Polgármesteri Hivatal Zalakaros Beruházás' &lt;</w:t>
      </w:r>
      <w:hyperlink r:id="rId10" w:history="1">
        <w:r>
          <w:rPr>
            <w:rStyle w:val="Hiperhivatkozs"/>
            <w:lang w:eastAsia="hu-HU"/>
          </w:rPr>
          <w:t>beruhazas@zalakaros.hu</w:t>
        </w:r>
      </w:hyperlink>
      <w:r>
        <w:rPr>
          <w:lang w:eastAsia="hu-HU"/>
        </w:rPr>
        <w:t>&gt;</w:t>
      </w:r>
      <w:r>
        <w:rPr>
          <w:lang w:eastAsia="hu-HU"/>
        </w:rPr>
        <w:br/>
      </w:r>
      <w:proofErr w:type="spellStart"/>
      <w:r>
        <w:rPr>
          <w:b/>
          <w:bCs/>
          <w:lang w:eastAsia="hu-HU"/>
        </w:rPr>
        <w:t>Subject</w:t>
      </w:r>
      <w:proofErr w:type="spellEnd"/>
      <w:proofErr w:type="gramEnd"/>
      <w:r>
        <w:rPr>
          <w:b/>
          <w:bCs/>
          <w:lang w:eastAsia="hu-HU"/>
        </w:rPr>
        <w:t>:</w:t>
      </w:r>
      <w:r>
        <w:rPr>
          <w:lang w:eastAsia="hu-HU"/>
        </w:rPr>
        <w:t xml:space="preserve"> Gyógyhelyi fejlesztés 2018</w:t>
      </w:r>
    </w:p>
    <w:p w:rsidR="006E5059" w:rsidRDefault="006E5059" w:rsidP="006E5059"/>
    <w:p w:rsidR="006E5059" w:rsidRDefault="006E5059" w:rsidP="006E5059">
      <w:r>
        <w:t>Tisztelt Alpolgármester Asszony!</w:t>
      </w:r>
    </w:p>
    <w:p w:rsidR="006E5059" w:rsidRDefault="006E5059" w:rsidP="006E5059"/>
    <w:p w:rsidR="006E5059" w:rsidRDefault="006E5059" w:rsidP="006E5059">
      <w:r>
        <w:t xml:space="preserve">A Zalakaros Város Önkormányzata „Gyógyhelyi fejlesztés 2018” tárgyú közbeszerzési eljárásában az ajánlatok bontásának időpontja az utolsó </w:t>
      </w:r>
      <w:proofErr w:type="spellStart"/>
      <w:r>
        <w:t>korrigendum</w:t>
      </w:r>
      <w:proofErr w:type="spellEnd"/>
      <w:r>
        <w:t xml:space="preserve"> szerint: 2018. szeptember 27. napján 10:00 óra.</w:t>
      </w:r>
    </w:p>
    <w:p w:rsidR="006E5059" w:rsidRDefault="006E5059" w:rsidP="006E5059">
      <w:r>
        <w:t>Az utolsó módosításra azért volt szükség, mert kiegészítő tájékoztatás eredményeként módosítani kellett az árazatlan költségvetést.</w:t>
      </w:r>
    </w:p>
    <w:p w:rsidR="006E5059" w:rsidRDefault="006E5059" w:rsidP="006E5059"/>
    <w:p w:rsidR="006E5059" w:rsidRDefault="006E5059" w:rsidP="006E5059">
      <w:r>
        <w:t>A Miniszterelnökség Közbeszerzési Felügyeletért Felelős Helyettes Államtitkárságának tájékoztatása szerint a mai napon megkapjuk az ajánlattételi felhívásra vonatkozó minőségbiztosítási tanúsítványt. Az egyéb közbeszerzési dokumentumokra (szerződéstervezet, műszaki leírás, árazatlan költségvetés, nyilatkozatminták) vonatkozó tanúsítványt 2018. szeptember 25. napjáig ígérték.</w:t>
      </w:r>
    </w:p>
    <w:p w:rsidR="006E5059" w:rsidRDefault="006E5059" w:rsidP="006E5059"/>
    <w:p w:rsidR="006E5059" w:rsidRDefault="006E5059" w:rsidP="006E5059">
      <w:r>
        <w:t>Alpolgármester Asszony kifejezett kérésére az ajánlattételi határidőt több alkalommal nem módosítjuk, hanem az ajánlatokat az egyéb közbeszerzési dokumentumokra vonatkozó támogató tanúsítvány hiányában is felbontjuk, és értékeljük.</w:t>
      </w:r>
    </w:p>
    <w:p w:rsidR="006E5059" w:rsidRDefault="006E5059" w:rsidP="006E5059"/>
    <w:p w:rsidR="006E5059" w:rsidRDefault="006E5059" w:rsidP="006E5059">
      <w:r>
        <w:t>Ezzel kapcsolatban felhívom a figyelmet a következő kockázatokra:</w:t>
      </w:r>
    </w:p>
    <w:p w:rsidR="006E5059" w:rsidRDefault="006E5059" w:rsidP="006E5059">
      <w:r>
        <w:t xml:space="preserve">Bár ennek igen kicsi az esélye, az egyéb közbeszerzési dokumentumokra vonatkozó tanúsítványban a Miniszterelnökség kérheti a dokumentumok módosítását, amire a hirdetményfeladás időigényére tekintettel már bizonyosan nem lesz idő. Amennyiben ez bekövetkezik, a Miniszterelnökség az úgynevezett szabályossági döntésben megállapítja, hogy nem teljesítettük a tanúsítványban foglaltakat, és – ha úgy ítéli meg, hogy ez magas kockázatú – szabálytalansági eljárást indíthat. </w:t>
      </w:r>
    </w:p>
    <w:p w:rsidR="006E5059" w:rsidRDefault="006E5059" w:rsidP="006E5059">
      <w:r>
        <w:t>Az eddigi kiegészítő tájékoztatások a műszaki leírás, illetőleg az árazatlan költségvetés hibáira hívták fel a figyelmet, amelyeket csak a dokumentáció módosításával lehetett orvosolni. Amennyiben újabb ehhez hasonló kiegészítő tájékoztatási igények érkeznek, és azokra nem módosítjuk a műszaki dokumentumokat, akkor azok nem megfelelősége az eljárásban dokumentált lesz, így azt a folyamatba épített ellenőrzés során a Miniszterelnökség észlelni fogja. Emellett módosítás hiányában az ajánlattevők előzetes vitarendezést, vagy jogorvoslati eljárást kezdeményeznek, illetőleg – adott esetben – nem tudnak megfelelő ajánlatot tenni.</w:t>
      </w:r>
    </w:p>
    <w:p w:rsidR="006E5059" w:rsidRDefault="006E5059" w:rsidP="006E5059"/>
    <w:p w:rsidR="006E5059" w:rsidRDefault="006E5059" w:rsidP="006E5059">
      <w:r>
        <w:t>Üdvözlettel:</w:t>
      </w:r>
    </w:p>
    <w:p w:rsidR="006E5059" w:rsidRDefault="006E5059" w:rsidP="006E5059"/>
    <w:p w:rsidR="006E5059" w:rsidRDefault="006E5059" w:rsidP="006E5059">
      <w:pPr>
        <w:rPr>
          <w:rFonts w:ascii="Garamond" w:hAnsi="Garamond"/>
          <w:b/>
          <w:bCs/>
          <w:i/>
          <w:iCs/>
          <w:color w:val="17365D"/>
          <w:lang w:eastAsia="hu-HU"/>
        </w:rPr>
      </w:pPr>
      <w:proofErr w:type="gramStart"/>
      <w:r>
        <w:rPr>
          <w:rFonts w:ascii="Garamond" w:hAnsi="Garamond"/>
          <w:b/>
          <w:bCs/>
          <w:i/>
          <w:iCs/>
          <w:color w:val="17365D"/>
          <w:lang w:eastAsia="hu-HU"/>
        </w:rPr>
        <w:t>dr.</w:t>
      </w:r>
      <w:proofErr w:type="gramEnd"/>
      <w:r>
        <w:rPr>
          <w:rFonts w:ascii="Garamond" w:hAnsi="Garamond"/>
          <w:b/>
          <w:bCs/>
          <w:i/>
          <w:iCs/>
          <w:color w:val="17365D"/>
          <w:lang w:eastAsia="hu-HU"/>
        </w:rPr>
        <w:t xml:space="preserve"> Balogh László Csaba</w:t>
      </w:r>
    </w:p>
    <w:p w:rsidR="006E5059" w:rsidRDefault="006E5059" w:rsidP="006E5059">
      <w:pPr>
        <w:rPr>
          <w:rFonts w:ascii="Garamond" w:hAnsi="Garamond"/>
          <w:b/>
          <w:bCs/>
          <w:i/>
          <w:iCs/>
          <w:color w:val="17365D"/>
          <w:lang w:eastAsia="hu-HU"/>
        </w:rPr>
      </w:pPr>
      <w:proofErr w:type="gramStart"/>
      <w:r>
        <w:rPr>
          <w:rFonts w:ascii="Garamond" w:hAnsi="Garamond"/>
          <w:b/>
          <w:bCs/>
          <w:i/>
          <w:iCs/>
          <w:color w:val="17365D"/>
          <w:lang w:eastAsia="hu-HU"/>
        </w:rPr>
        <w:t>irodavezet</w:t>
      </w:r>
      <w:r>
        <w:rPr>
          <w:rFonts w:ascii="Times New Roman" w:hAnsi="Times New Roman"/>
          <w:b/>
          <w:bCs/>
          <w:i/>
          <w:iCs/>
          <w:color w:val="17365D"/>
          <w:lang w:eastAsia="hu-HU"/>
        </w:rPr>
        <w:t>ő</w:t>
      </w:r>
      <w:proofErr w:type="gramEnd"/>
      <w:r>
        <w:rPr>
          <w:rFonts w:ascii="Garamond" w:hAnsi="Garamond"/>
          <w:b/>
          <w:bCs/>
          <w:i/>
          <w:iCs/>
          <w:color w:val="17365D"/>
          <w:lang w:eastAsia="hu-HU"/>
        </w:rPr>
        <w:t xml:space="preserve"> </w:t>
      </w:r>
      <w:r>
        <w:rPr>
          <w:rFonts w:ascii="Garamond" w:hAnsi="Garamond" w:cs="Garamond"/>
          <w:b/>
          <w:bCs/>
          <w:i/>
          <w:iCs/>
          <w:color w:val="17365D"/>
          <w:lang w:eastAsia="hu-HU"/>
        </w:rPr>
        <w:t>ü</w:t>
      </w:r>
      <w:r>
        <w:rPr>
          <w:rFonts w:ascii="Garamond" w:hAnsi="Garamond"/>
          <w:b/>
          <w:bCs/>
          <w:i/>
          <w:iCs/>
          <w:color w:val="17365D"/>
          <w:lang w:eastAsia="hu-HU"/>
        </w:rPr>
        <w:t>gyv</w:t>
      </w:r>
      <w:r>
        <w:rPr>
          <w:rFonts w:ascii="Garamond" w:hAnsi="Garamond" w:cs="Garamond"/>
          <w:b/>
          <w:bCs/>
          <w:i/>
          <w:iCs/>
          <w:color w:val="17365D"/>
          <w:lang w:eastAsia="hu-HU"/>
        </w:rPr>
        <w:t>é</w:t>
      </w:r>
      <w:r>
        <w:rPr>
          <w:rFonts w:ascii="Garamond" w:hAnsi="Garamond"/>
          <w:b/>
          <w:bCs/>
          <w:i/>
          <w:iCs/>
          <w:color w:val="17365D"/>
          <w:lang w:eastAsia="hu-HU"/>
        </w:rPr>
        <w:t xml:space="preserve">d, </w:t>
      </w:r>
    </w:p>
    <w:p w:rsidR="006E5059" w:rsidRDefault="006E5059" w:rsidP="006E5059">
      <w:pPr>
        <w:rPr>
          <w:rFonts w:ascii="Garamond" w:hAnsi="Garamond"/>
          <w:b/>
          <w:bCs/>
          <w:i/>
          <w:iCs/>
          <w:color w:val="17365D"/>
          <w:lang w:eastAsia="hu-HU"/>
        </w:rPr>
      </w:pPr>
      <w:proofErr w:type="gramStart"/>
      <w:r>
        <w:rPr>
          <w:rFonts w:ascii="Garamond" w:hAnsi="Garamond"/>
          <w:b/>
          <w:bCs/>
          <w:i/>
          <w:iCs/>
          <w:color w:val="17365D"/>
          <w:lang w:eastAsia="hu-HU"/>
        </w:rPr>
        <w:t>felel</w:t>
      </w:r>
      <w:r>
        <w:rPr>
          <w:rFonts w:ascii="Times New Roman" w:hAnsi="Times New Roman"/>
          <w:b/>
          <w:bCs/>
          <w:i/>
          <w:iCs/>
          <w:color w:val="17365D"/>
          <w:lang w:eastAsia="hu-HU"/>
        </w:rPr>
        <w:t>ő</w:t>
      </w:r>
      <w:r>
        <w:rPr>
          <w:rFonts w:ascii="Garamond" w:hAnsi="Garamond"/>
          <w:b/>
          <w:bCs/>
          <w:i/>
          <w:iCs/>
          <w:color w:val="17365D"/>
          <w:lang w:eastAsia="hu-HU"/>
        </w:rPr>
        <w:t>s</w:t>
      </w:r>
      <w:proofErr w:type="gramEnd"/>
      <w:r>
        <w:rPr>
          <w:rFonts w:ascii="Garamond" w:hAnsi="Garamond"/>
          <w:b/>
          <w:bCs/>
          <w:i/>
          <w:iCs/>
          <w:color w:val="17365D"/>
          <w:lang w:eastAsia="hu-HU"/>
        </w:rPr>
        <w:t xml:space="preserve"> akkredit</w:t>
      </w:r>
      <w:r>
        <w:rPr>
          <w:rFonts w:ascii="Garamond" w:hAnsi="Garamond" w:cs="Garamond"/>
          <w:b/>
          <w:bCs/>
          <w:i/>
          <w:iCs/>
          <w:color w:val="17365D"/>
          <w:lang w:eastAsia="hu-HU"/>
        </w:rPr>
        <w:t>á</w:t>
      </w:r>
      <w:r>
        <w:rPr>
          <w:rFonts w:ascii="Garamond" w:hAnsi="Garamond"/>
          <w:b/>
          <w:bCs/>
          <w:i/>
          <w:iCs/>
          <w:color w:val="17365D"/>
          <w:lang w:eastAsia="hu-HU"/>
        </w:rPr>
        <w:t>lt k</w:t>
      </w:r>
      <w:r>
        <w:rPr>
          <w:rFonts w:ascii="Garamond" w:hAnsi="Garamond" w:cs="Garamond"/>
          <w:b/>
          <w:bCs/>
          <w:i/>
          <w:iCs/>
          <w:color w:val="17365D"/>
          <w:lang w:eastAsia="hu-HU"/>
        </w:rPr>
        <w:t>ö</w:t>
      </w:r>
      <w:r>
        <w:rPr>
          <w:rFonts w:ascii="Garamond" w:hAnsi="Garamond"/>
          <w:b/>
          <w:bCs/>
          <w:i/>
          <w:iCs/>
          <w:color w:val="17365D"/>
          <w:lang w:eastAsia="hu-HU"/>
        </w:rPr>
        <w:t>zbeszerz</w:t>
      </w:r>
      <w:r>
        <w:rPr>
          <w:rFonts w:ascii="Garamond" w:hAnsi="Garamond" w:cs="Garamond"/>
          <w:b/>
          <w:bCs/>
          <w:i/>
          <w:iCs/>
          <w:color w:val="17365D"/>
          <w:lang w:eastAsia="hu-HU"/>
        </w:rPr>
        <w:t>é</w:t>
      </w:r>
      <w:r>
        <w:rPr>
          <w:rFonts w:ascii="Garamond" w:hAnsi="Garamond"/>
          <w:b/>
          <w:bCs/>
          <w:i/>
          <w:iCs/>
          <w:color w:val="17365D"/>
          <w:lang w:eastAsia="hu-HU"/>
        </w:rPr>
        <w:t>si szaktan</w:t>
      </w:r>
      <w:r>
        <w:rPr>
          <w:rFonts w:ascii="Garamond" w:hAnsi="Garamond" w:cs="Garamond"/>
          <w:b/>
          <w:bCs/>
          <w:i/>
          <w:iCs/>
          <w:color w:val="17365D"/>
          <w:lang w:eastAsia="hu-HU"/>
        </w:rPr>
        <w:t>á</w:t>
      </w:r>
      <w:r>
        <w:rPr>
          <w:rFonts w:ascii="Garamond" w:hAnsi="Garamond"/>
          <w:b/>
          <w:bCs/>
          <w:i/>
          <w:iCs/>
          <w:color w:val="17365D"/>
          <w:lang w:eastAsia="hu-HU"/>
        </w:rPr>
        <w:t>csad</w:t>
      </w:r>
      <w:r>
        <w:rPr>
          <w:rFonts w:ascii="Garamond" w:hAnsi="Garamond" w:cs="Garamond"/>
          <w:b/>
          <w:bCs/>
          <w:i/>
          <w:iCs/>
          <w:color w:val="17365D"/>
          <w:lang w:eastAsia="hu-HU"/>
        </w:rPr>
        <w:t>ó</w:t>
      </w:r>
    </w:p>
    <w:p w:rsidR="006E5059" w:rsidRDefault="006E5059" w:rsidP="006E5059">
      <w:pPr>
        <w:jc w:val="center"/>
        <w:rPr>
          <w:rFonts w:eastAsia="Times New Roman"/>
          <w:i/>
          <w:iCs/>
          <w:color w:val="1F497D"/>
          <w:lang w:eastAsia="hu-HU"/>
        </w:rPr>
      </w:pPr>
      <w:r>
        <w:rPr>
          <w:rFonts w:eastAsia="Times New Roman"/>
          <w:i/>
          <w:iCs/>
          <w:color w:val="1F497D"/>
          <w:lang w:eastAsia="hu-HU"/>
        </w:rPr>
        <w:pict>
          <v:rect id="_x0000_i1025" style="width:453.6pt;height:1.5pt" o:hralign="center" o:hrstd="t" o:hr="t" fillcolor="#a0a0a0" stroked="f"/>
        </w:pict>
      </w:r>
    </w:p>
    <w:p w:rsidR="006E5059" w:rsidRDefault="006E5059" w:rsidP="006E5059">
      <w:pPr>
        <w:rPr>
          <w:color w:val="1F497D"/>
          <w:lang w:eastAsia="hu-HU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hu-HU"/>
        </w:rPr>
        <w:drawing>
          <wp:inline distT="0" distB="0" distL="0" distR="0" wp14:anchorId="53E52E54" wp14:editId="1A2F211D">
            <wp:extent cx="1323975" cy="228600"/>
            <wp:effectExtent l="0" t="0" r="9525" b="0"/>
            <wp:docPr id="1" name="Kép 1" descr="cid:88271CF30F124E8996855CACA8FB14EA@youre49ed3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d:88271CF30F124E8996855CACA8FB14EA@youre49ed31495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  <w:lang w:eastAsia="hu-HU"/>
        </w:rPr>
        <w:t xml:space="preserve">  </w:t>
      </w:r>
      <w:r>
        <w:rPr>
          <w:rFonts w:ascii="Arial" w:hAnsi="Arial" w:cs="Arial"/>
          <w:noProof/>
          <w:color w:val="1F497D"/>
          <w:sz w:val="20"/>
          <w:szCs w:val="20"/>
          <w:lang w:eastAsia="hu-HU"/>
        </w:rPr>
        <w:drawing>
          <wp:inline distT="0" distB="0" distL="0" distR="0" wp14:anchorId="1D160BC9" wp14:editId="71CEE4F9">
            <wp:extent cx="323850" cy="228600"/>
            <wp:effectExtent l="0" t="0" r="0" b="0"/>
            <wp:docPr id="2" name="Kép 2" descr="cid:46189210BCD347E9AD5ECEF49A09A024@youre49ed3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id:46189210BCD347E9AD5ECEF49A09A024@youre49ed31495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  <w:lang w:eastAsia="hu-HU"/>
        </w:rPr>
        <w:t xml:space="preserve">       </w:t>
      </w:r>
    </w:p>
    <w:p w:rsidR="006E5059" w:rsidRDefault="006E5059" w:rsidP="006E5059">
      <w:pPr>
        <w:rPr>
          <w:color w:val="1F497D"/>
          <w:lang w:eastAsia="hu-HU"/>
        </w:rPr>
      </w:pPr>
      <w:r>
        <w:rPr>
          <w:i/>
          <w:iCs/>
          <w:color w:val="1F497D"/>
          <w:sz w:val="20"/>
          <w:szCs w:val="20"/>
          <w:lang w:eastAsia="hu-HU"/>
        </w:rPr>
        <w:t xml:space="preserve">1024 Budapest, Széll Kálmán tér 5. I/1. </w:t>
      </w:r>
    </w:p>
    <w:p w:rsidR="006E5059" w:rsidRDefault="006E5059" w:rsidP="006E5059">
      <w:pPr>
        <w:rPr>
          <w:i/>
          <w:iCs/>
          <w:color w:val="1F497D"/>
          <w:sz w:val="20"/>
          <w:szCs w:val="20"/>
          <w:lang w:eastAsia="hu-HU"/>
        </w:rPr>
      </w:pPr>
      <w:proofErr w:type="gramStart"/>
      <w:r>
        <w:rPr>
          <w:i/>
          <w:iCs/>
          <w:color w:val="1F497D"/>
          <w:sz w:val="20"/>
          <w:szCs w:val="20"/>
          <w:lang w:eastAsia="hu-HU"/>
        </w:rPr>
        <w:t>telefon</w:t>
      </w:r>
      <w:proofErr w:type="gramEnd"/>
      <w:r>
        <w:rPr>
          <w:i/>
          <w:iCs/>
          <w:color w:val="1F497D"/>
          <w:sz w:val="20"/>
          <w:szCs w:val="20"/>
          <w:lang w:eastAsia="hu-HU"/>
        </w:rPr>
        <w:t>: (+36-1) 465-0223</w:t>
      </w:r>
    </w:p>
    <w:p w:rsidR="006E5059" w:rsidRDefault="006E5059" w:rsidP="006E5059">
      <w:pPr>
        <w:rPr>
          <w:i/>
          <w:iCs/>
          <w:color w:val="1F497D"/>
          <w:sz w:val="20"/>
          <w:szCs w:val="20"/>
          <w:lang w:eastAsia="hu-HU"/>
        </w:rPr>
      </w:pPr>
      <w:proofErr w:type="gramStart"/>
      <w:r>
        <w:rPr>
          <w:i/>
          <w:iCs/>
          <w:color w:val="1F497D"/>
          <w:sz w:val="20"/>
          <w:szCs w:val="20"/>
          <w:lang w:eastAsia="hu-HU"/>
        </w:rPr>
        <w:t>fax</w:t>
      </w:r>
      <w:proofErr w:type="gramEnd"/>
      <w:r>
        <w:rPr>
          <w:i/>
          <w:iCs/>
          <w:color w:val="1F497D"/>
          <w:sz w:val="20"/>
          <w:szCs w:val="20"/>
          <w:lang w:eastAsia="hu-HU"/>
        </w:rPr>
        <w:t>: (+36-1) 799-9909</w:t>
      </w:r>
    </w:p>
    <w:p w:rsidR="006E5059" w:rsidRDefault="006E5059" w:rsidP="006E5059">
      <w:pPr>
        <w:rPr>
          <w:color w:val="1F497D"/>
          <w:lang w:eastAsia="hu-HU"/>
        </w:rPr>
      </w:pPr>
      <w:proofErr w:type="gramStart"/>
      <w:r>
        <w:rPr>
          <w:i/>
          <w:iCs/>
          <w:color w:val="1F497D"/>
          <w:sz w:val="20"/>
          <w:szCs w:val="20"/>
          <w:lang w:eastAsia="hu-HU"/>
        </w:rPr>
        <w:t>e-mail</w:t>
      </w:r>
      <w:proofErr w:type="gramEnd"/>
      <w:r>
        <w:rPr>
          <w:i/>
          <w:iCs/>
          <w:color w:val="1F497D"/>
          <w:sz w:val="20"/>
          <w:szCs w:val="20"/>
          <w:lang w:eastAsia="hu-HU"/>
        </w:rPr>
        <w:t>:</w:t>
      </w:r>
      <w:r>
        <w:rPr>
          <w:color w:val="1F497D"/>
          <w:lang w:eastAsia="hu-HU"/>
        </w:rPr>
        <w:t xml:space="preserve"> </w:t>
      </w:r>
      <w:hyperlink r:id="rId15" w:history="1">
        <w:r>
          <w:rPr>
            <w:rStyle w:val="Hiperhivatkozs"/>
            <w:i/>
            <w:iCs/>
            <w:color w:val="1F497D"/>
            <w:sz w:val="20"/>
            <w:szCs w:val="20"/>
            <w:lang w:eastAsia="hu-HU"/>
          </w:rPr>
          <w:t>iroda@jogiszakerto.hu</w:t>
        </w:r>
      </w:hyperlink>
    </w:p>
    <w:p w:rsidR="006E5059" w:rsidRDefault="006E5059" w:rsidP="006E5059"/>
    <w:p w:rsidR="0001136E" w:rsidRDefault="0001136E">
      <w:bookmarkStart w:id="0" w:name="_GoBack"/>
      <w:bookmarkEnd w:id="0"/>
    </w:p>
    <w:sectPr w:rsidR="0001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59"/>
    <w:rsid w:val="0001136E"/>
    <w:rsid w:val="006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05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E5059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50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0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05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E5059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50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0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da@jogiszakerto.h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egyzo@zalakaros.hu" TargetMode="External"/><Relationship Id="rId12" Type="http://schemas.openxmlformats.org/officeDocument/2006/relationships/image" Target="cid:image001.jpg@01D44F66.A43A9C3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polgarmester@zalakaros.hu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iroda@jogiszakerto.hu" TargetMode="External"/><Relationship Id="rId15" Type="http://schemas.openxmlformats.org/officeDocument/2006/relationships/hyperlink" Target="mailto:iroda@jogiszakerto.hu" TargetMode="External"/><Relationship Id="rId10" Type="http://schemas.openxmlformats.org/officeDocument/2006/relationships/hyperlink" Target="mailto:beruhazas@zalakaro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nedzser@zalakaros.hu" TargetMode="External"/><Relationship Id="rId14" Type="http://schemas.openxmlformats.org/officeDocument/2006/relationships/image" Target="cid:image002.jpg@01D44F66.A43A9C3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Torma</dc:creator>
  <cp:lastModifiedBy>László Torma</cp:lastModifiedBy>
  <cp:revision>1</cp:revision>
  <dcterms:created xsi:type="dcterms:W3CDTF">2018-09-18T14:13:00Z</dcterms:created>
  <dcterms:modified xsi:type="dcterms:W3CDTF">2018-09-18T14:13:00Z</dcterms:modified>
</cp:coreProperties>
</file>